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2.jpg" ContentType="image/jpe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6.png" ContentType="image/png"/>
  <Override PartName="/word/media/rId49.png" ContentType="image/png"/>
  <Override PartName="/word/media/rId2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tulo5"/>
      </w:pPr>
      <w:bookmarkStart w:id="21" w:name="section"/>
      <w:bookmarkEnd w:id="21"/>
    </w:p>
    <w:p>
      <w:pPr>
        <w:pStyle w:val="Figure"/>
      </w:pPr>
      <w:r>
        <w:drawing>
          <wp:inline>
            <wp:extent cx="4039576" cy="5715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out/fig/geomap/mapa_situacio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576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rPr>
          <w:b/>
        </w:rPr>
        <w:t xml:space="preserve">Figure 1</w:t>
      </w:r>
      <w:r>
        <w:t xml:space="preserve">. Distribution of</w:t>
      </w:r>
      <w:r>
        <w:t xml:space="preserve"> </w:t>
      </w:r>
      <w:r>
        <w:rPr>
          <w:i/>
        </w:rPr>
        <w:t xml:space="preserve">Quercus pyrenaica</w:t>
      </w:r>
      <w:r>
        <w:t xml:space="preserve"> </w:t>
      </w:r>
      <w:r>
        <w:t xml:space="preserve">forests in Iberian Peninsula (a) and in Sierra Nevada mountain range, where three clusters of oak populations have been identified</w:t>
      </w:r>
      <w:r>
        <w:t xml:space="preserve"> </w:t>
      </w:r>
      <w:r>
        <w:t xml:space="preserve">(Pérez-Luque et al. 2015)</w:t>
      </w:r>
      <w:r>
        <w:t xml:space="preserve"> </w:t>
      </w:r>
      <w:r>
        <w:t xml:space="preserve">(showed in different colour) (b). A grid of with the MODIS pixels for each population is shown (see material and methods). Detailed location of the sampling sites: northern (San Juan, SJ) (c) and southern ones (Cáñar: CALow and CAHigh) (d). Colour Orthophotography of 2009 from Regional Ministry of the Environment, Regional Government of Andalusia.</w:t>
      </w:r>
    </w:p>
    <w:p>
      <w:pPr>
        <w:pStyle w:val="Ttulo5"/>
      </w:pPr>
      <w:bookmarkStart w:id="23" w:name="section-1"/>
      <w:bookmarkEnd w:id="23"/>
    </w:p>
    <w:p>
      <w:pPr>
        <w:pStyle w:val="FirstParagraph"/>
      </w:pPr>
      <w:r>
        <w:drawing>
          <wp:inline>
            <wp:extent cx="5943600" cy="4953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2.</w:t>
      </w:r>
      <w:r>
        <w:t xml:space="preserve"> </w:t>
      </w:r>
      <w:r>
        <w:t xml:space="preserve">EVI standardized anomaly (</w:t>
      </w:r>
      <m:oMath>
        <m:r>
          <m:t>E</m:t>
        </m:r>
        <m:r>
          <m:t>V</m:t>
        </m:r>
        <m:r>
          <m:t>I</m:t>
        </m:r>
        <m:r>
          <m:t> </m:t>
        </m:r>
        <m:r>
          <m:t>s</m:t>
        </m:r>
        <m:r>
          <m:t>a</m:t>
        </m:r>
      </m:oMath>
      <w:r>
        <w:t xml:space="preserve">) during the period 2000-2016 for northern and southern populations. Error bars show standard error.</w:t>
      </w:r>
    </w:p>
    <w:p>
      <w:pPr>
        <w:pStyle w:val="Ttulo5"/>
      </w:pPr>
      <w:bookmarkStart w:id="25" w:name="section-2"/>
      <w:bookmarkEnd w:id="25"/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1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3.</w:t>
      </w:r>
      <w:r>
        <w:t xml:space="preserve"> </w:t>
      </w:r>
      <w:r>
        <w:t xml:space="preserve">Response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forests to drought in terms of resistance, recovery and resilience of greenness (EVI; left-plots) and tree radial growth (BAI; right-plots) for the years 2005 and 2012. For EVI we compared northern populations (black fill circle) with southern ones (blue empty circle). For BAI we compared northern population (San Juan, SJ; black triangle) with southerns populations: Cáñar-High (Ca-H; blue empty squares) and Cáñar-Low (Ca-L; blue fill sauares). Different letters above error bars indicate significant post hoc differences between groups (see material and methods).</w:t>
      </w:r>
    </w:p>
    <w:p>
      <w:pPr>
        <w:pStyle w:val="Ttulo5"/>
      </w:pPr>
      <w:bookmarkStart w:id="27" w:name="section-3"/>
      <w:bookmarkEnd w:id="27"/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1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4.</w:t>
      </w:r>
      <w:r>
        <w:t xml:space="preserve"> </w:t>
      </w:r>
      <w:r>
        <w:t xml:space="preserve">Basal Area Increment (BAI) chronologies of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for northern population (SJ;</w:t>
      </w:r>
      <w:r>
        <w:t xml:space="preserve"> </w:t>
      </w:r>
      <w:r>
        <w:rPr>
          <w:i/>
        </w:rPr>
        <w:t xml:space="preserve">green</w:t>
      </w:r>
      <w:r>
        <w:t xml:space="preserve">) and southern ones: low-elevation (CA_Low;</w:t>
      </w:r>
      <w:r>
        <w:t xml:space="preserve"> </w:t>
      </w:r>
      <w:r>
        <w:rPr>
          <w:i/>
        </w:rPr>
        <w:t xml:space="preserve">pink</w:t>
      </w:r>
      <w:r>
        <w:t xml:space="preserve">) and high-elevation (CA_High,</w:t>
      </w:r>
      <w:r>
        <w:t xml:space="preserve"> </w:t>
      </w:r>
      <w:r>
        <w:rPr>
          <w:i/>
        </w:rPr>
        <w:t xml:space="preserve">purple</w:t>
      </w:r>
      <w:r>
        <w:t xml:space="preserve">) sites. Shading areas coorespond to standard error of the mean. Number of series are displayed in the upper plot. We only show chronologies with # trees &gt; 5.</w:t>
      </w:r>
    </w:p>
    <w:p>
      <w:pPr>
        <w:pStyle w:val="Ttulo5"/>
      </w:pPr>
      <w:bookmarkStart w:id="29" w:name="section-4"/>
      <w:bookmarkEnd w:id="29"/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2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5.</w:t>
      </w:r>
      <w:r>
        <w:t xml:space="preserve"> </w:t>
      </w:r>
      <w:r>
        <w:t xml:space="preserve">Residual Tree-ring chronologies obtained for the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sites. Dashed red lines indicate the start of the reliable period (EPS &gt; 0.85). Dotted black lines showing the three of most recent severe drought years (1995, 2005 and 2012).</w:t>
      </w:r>
    </w:p>
    <w:p>
      <w:pPr>
        <w:pStyle w:val="Ttulo5"/>
      </w:pPr>
      <w:bookmarkStart w:id="31" w:name="section-5"/>
      <w:bookmarkEnd w:id="31"/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2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6.</w:t>
      </w:r>
      <w:r>
        <w:t xml:space="preserve"> </w:t>
      </w:r>
      <w:r>
        <w:t xml:space="preserve">Correlation coefficients obtained by relating tree-ring residual chronologies (RWI) of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and monthly climatic data (precipitation (a), SPEI (b), maximun (c) and minimun (d) temperatures) for northern site (</w:t>
      </w:r>
      <w:r>
        <w:rPr>
          <w:i/>
        </w:rPr>
        <w:t xml:space="preserve">green</w:t>
      </w:r>
      <w:r>
        <w:t xml:space="preserve"> </w:t>
      </w:r>
      <w:r>
        <w:t xml:space="preserve">bars), low-elevation southern site (</w:t>
      </w:r>
      <w:r>
        <w:rPr>
          <w:i/>
        </w:rPr>
        <w:t xml:space="preserve">light blue</w:t>
      </w:r>
      <w:r>
        <w:t xml:space="preserve"> </w:t>
      </w:r>
      <w:r>
        <w:t xml:space="preserve">bars) and high-elevation shouthern (</w:t>
      </w:r>
      <w:r>
        <w:rPr>
          <w:i/>
        </w:rPr>
        <w:t xml:space="preserve">dark blue</w:t>
      </w:r>
      <w:r>
        <w:t xml:space="preserve"> </w:t>
      </w:r>
      <w:r>
        <w:t xml:space="preserve">bars) site. Asteriks indicate significant (</w:t>
      </w:r>
      <m:oMath>
        <m:r>
          <m:t>P</m:t>
        </m:r>
        <m:r>
          <m:t>&lt;</m:t>
        </m:r>
        <m:r>
          <m:t>0.05</m:t>
        </m:r>
      </m:oMath>
      <w:r>
        <w:t xml:space="preserve">) correlation coefficients.</w:t>
      </w:r>
    </w:p>
    <w:p>
      <w:pPr>
        <w:pStyle w:val="Ttulo5"/>
      </w:pPr>
      <w:bookmarkStart w:id="33" w:name="section-6"/>
      <w:bookmarkEnd w:id="33"/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2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7.</w:t>
      </w:r>
      <w:r>
        <w:t xml:space="preserve"> </w:t>
      </w:r>
      <w:r>
        <w:t xml:space="preserve">Comparison of median growth change (</w:t>
      </w:r>
      <m:oMath>
        <m:r>
          <m:t>G</m:t>
        </m:r>
        <m:r>
          <m:t>C</m:t>
        </m:r>
      </m:oMath>
      <w:r>
        <w:t xml:space="preserve">) following</w:t>
      </w:r>
      <w:r>
        <w:t xml:space="preserve"> </w:t>
      </w:r>
      <w:r>
        <w:t xml:space="preserve">(Nowacki and Abrams 1997)</w:t>
      </w:r>
      <w:r>
        <w:t xml:space="preserve"> </w:t>
      </w:r>
      <w:r>
        <w:t xml:space="preserve">for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sites. Dashed black lines indicate a threshold of 50 % of GC (see material and methods).</w:t>
      </w:r>
    </w:p>
    <w:p>
      <w:pPr>
        <w:pStyle w:val="Ttulo5"/>
      </w:pPr>
      <w:bookmarkStart w:id="35" w:name="section-7"/>
      <w:bookmarkEnd w:id="35"/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2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8</w:t>
      </w:r>
      <w:r>
        <w:t xml:space="preserve">. Percentage of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trees affected by GC &gt; 50 % by site.</w:t>
      </w:r>
      <w:r>
        <w:t xml:space="preserve"> </w:t>
      </w:r>
      <w:r>
        <w:rPr>
          <w:i/>
        </w:rPr>
        <w:t xml:space="preserve">Black</w:t>
      </w:r>
      <w:r>
        <w:t xml:space="preserve"> </w:t>
      </w:r>
      <w:r>
        <w:t xml:space="preserve">line shows number of trees (rigth-axis).</w:t>
      </w:r>
    </w:p>
    <w:p>
      <w:pPr>
        <w:pStyle w:val="Ttulo1"/>
      </w:pPr>
      <w:bookmarkStart w:id="37" w:name="supplementary"/>
      <w:bookmarkEnd w:id="37"/>
      <w:r>
        <w:t xml:space="preserve">Supplementary</w:t>
      </w:r>
    </w:p>
    <w:p>
      <w:pPr>
        <w:pStyle w:val="Ttulo5"/>
      </w:pPr>
      <w:bookmarkStart w:id="38" w:name="section-8"/>
      <w:bookmarkEnd w:id="38"/>
    </w:p>
    <w:p>
      <w:pPr>
        <w:pStyle w:val="FirstParagraph"/>
      </w:pPr>
      <w:r>
        <w:rPr>
          <w:b/>
        </w:rPr>
        <w:t xml:space="preserve">Appendix S1</w:t>
      </w:r>
      <w:r>
        <w:t xml:space="preserve"> </w:t>
      </w:r>
      <w:r>
        <w:t xml:space="preserve">Acumulated monthly precipitation during the hydrological year 2004-2005 (blue line) and 2011-2012 (red line). The boxplot representing the average from 1940-2015 period. Data from meteorological station Granada, Base Aérea (National Spanish Meteorological Services, AEMET).</w:t>
      </w:r>
    </w:p>
    <w:p>
      <w:pPr>
        <w:pStyle w:val="Textodecuerpo"/>
      </w:pPr>
      <w:r>
        <w:drawing>
          <wp:inline>
            <wp:extent cx="5943600" cy="4953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2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40" w:name="section-9"/>
      <w:bookmarkEnd w:id="40"/>
    </w:p>
    <w:p>
      <w:pPr>
        <w:pStyle w:val="FirstParagraph"/>
      </w:pPr>
      <w:r>
        <w:drawing>
          <wp:inline>
            <wp:extent cx="5943600" cy="4953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2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Appendix S2</w:t>
      </w:r>
      <w:r>
        <w:t xml:space="preserve">. Drought severity in the Sierra Nevada for the 1950-2016 period based on the Standardised Precipitation-Evapotranspiration Index (SPEI). We used data from Global SPEI database. We obtanied the SPEI data for a 12 month scale and for all 0.5º grid cells covering Sierra Nevada.</w:t>
      </w:r>
    </w:p>
    <w:p>
      <w:pPr>
        <w:pStyle w:val="Ttulo5"/>
      </w:pPr>
      <w:bookmarkStart w:id="42" w:name="section-10"/>
      <w:bookmarkEnd w:id="42"/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2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Appendix S3.</w:t>
      </w:r>
      <w:r>
        <w:t xml:space="preserve"> </w:t>
      </w:r>
      <w:r>
        <w:t xml:space="preserve">Temporal evolution of cumulative precipitation (hydrological year) during the period 1950-2017 for 28 meteorological stations (from National Spanish Meteorological Services, AEMET) distributed around the Sierra Nevada area. Points represent mean and errorbars standard error.</w:t>
      </w:r>
      <w:r>
        <w:t xml:space="preserve"> </w:t>
      </w:r>
      <w:r>
        <w:rPr>
          <w:i/>
        </w:rPr>
        <w:t xml:space="preserve">Black</w:t>
      </w:r>
      <w:r>
        <w:t xml:space="preserve"> </w:t>
      </w:r>
      <w:r>
        <w:t xml:space="preserve">line indicates mean for all period.</w:t>
      </w:r>
      <w:r>
        <w:t xml:space="preserve"> </w:t>
      </w:r>
      <w:r>
        <w:rPr>
          <w:i/>
        </w:rPr>
        <w:t xml:space="preserve">Red</w:t>
      </w:r>
      <w:r>
        <w:t xml:space="preserve"> </w:t>
      </w:r>
      <w:r>
        <w:t xml:space="preserve">lines represent -1 (</w:t>
      </w:r>
      <w:r>
        <w:rPr>
          <w:i/>
        </w:rPr>
        <w:t xml:space="preserve">dotted</w:t>
      </w:r>
      <w:r>
        <w:t xml:space="preserve"> </w:t>
      </w:r>
      <w:r>
        <w:t xml:space="preserve">line) and -2 (</w:t>
      </w:r>
      <w:r>
        <w:rPr>
          <w:i/>
        </w:rPr>
        <w:t xml:space="preserve">dashed</w:t>
      </w:r>
      <w:r>
        <w:t xml:space="preserve"> </w:t>
      </w:r>
      <w:r>
        <w:t xml:space="preserve">line) standard deviation.</w:t>
      </w:r>
      <w:r>
        <w:t xml:space="preserve"> </w:t>
      </w:r>
      <w:r>
        <w:rPr>
          <w:i/>
        </w:rPr>
        <w:t xml:space="preserve">Blue</w:t>
      </w:r>
      <w:r>
        <w:t xml:space="preserve"> </w:t>
      </w:r>
      <w:r>
        <w:t xml:space="preserve">lines represent +1 (</w:t>
      </w:r>
      <w:r>
        <w:rPr>
          <w:i/>
        </w:rPr>
        <w:t xml:space="preserve">dotted</w:t>
      </w:r>
      <w:r>
        <w:t xml:space="preserve"> </w:t>
      </w:r>
      <w:r>
        <w:t xml:space="preserve">line) and +2 (</w:t>
      </w:r>
      <w:r>
        <w:rPr>
          <w:i/>
        </w:rPr>
        <w:t xml:space="preserve">dashed</w:t>
      </w:r>
      <w:r>
        <w:t xml:space="preserve"> </w:t>
      </w:r>
      <w:r>
        <w:t xml:space="preserve">line) standard deviation. We indicate all years with average values below -1SD.</w:t>
      </w:r>
    </w:p>
    <w:p>
      <w:pPr>
        <w:pStyle w:val="Ttulo5"/>
      </w:pPr>
      <w:bookmarkStart w:id="44" w:name="section-11"/>
      <w:bookmarkEnd w:id="44"/>
    </w:p>
    <w:p>
      <w:pPr>
        <w:pStyle w:val="TableCaption"/>
      </w:pPr>
      <w:r>
        <w:t xml:space="preserve">Table continues below</w:t>
      </w:r>
    </w:p>
    <w:tbl>
      <w:tblPr>
        <w:tblStyle w:val="TableNormal"/>
        <w:tblW w:type="pct" w:w="5000.0"/>
        <w:tblLook w:firstRow="1"/>
        <w:tblCaption w:val="Table continues below"/>
      </w:tblPr>
      <w:tblGrid>
        <w:gridCol w:w="1354"/>
        <w:gridCol w:w="1458"/>
        <w:gridCol w:w="1354"/>
        <w:gridCol w:w="1458"/>
        <w:gridCol w:w="1354"/>
        <w:gridCol w:w="937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d_duration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d_intensity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d_severity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lowest_spei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month_peak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minyear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p>
            <w:pPr>
              <w:pStyle w:val="Compact"/>
              <w:jc w:val="center"/>
            </w:pPr>
            <w:r>
              <w:t xml:space="preserve">-1.581</w:t>
            </w:r>
          </w:p>
        </w:tc>
        <w:tc>
          <w:p>
            <w:pPr>
              <w:pStyle w:val="Compact"/>
              <w:jc w:val="center"/>
            </w:pPr>
            <w:r>
              <w:t xml:space="preserve">17.39</w:t>
            </w:r>
          </w:p>
        </w:tc>
        <w:tc>
          <w:p>
            <w:pPr>
              <w:pStyle w:val="Compact"/>
              <w:jc w:val="center"/>
            </w:pPr>
            <w:r>
              <w:t xml:space="preserve">-2.024</w:t>
            </w:r>
          </w:p>
        </w:tc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1913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p>
            <w:pPr>
              <w:pStyle w:val="Compact"/>
              <w:jc w:val="center"/>
            </w:pPr>
            <w:r>
              <w:t xml:space="preserve">-1.957</w:t>
            </w:r>
          </w:p>
        </w:tc>
        <w:tc>
          <w:p>
            <w:pPr>
              <w:pStyle w:val="Compact"/>
              <w:jc w:val="center"/>
            </w:pPr>
            <w:r>
              <w:t xml:space="preserve">21.52</w:t>
            </w:r>
          </w:p>
        </w:tc>
        <w:tc>
          <w:p>
            <w:pPr>
              <w:pStyle w:val="Compact"/>
              <w:jc w:val="center"/>
            </w:pPr>
            <w:r>
              <w:t xml:space="preserve">-2.585</w:t>
            </w:r>
          </w:p>
        </w:tc>
        <w:tc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p>
            <w:pPr>
              <w:pStyle w:val="Compact"/>
              <w:jc w:val="center"/>
            </w:pPr>
            <w:r>
              <w:t xml:space="preserve">1995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9</w:t>
            </w:r>
          </w:p>
        </w:tc>
        <w:tc>
          <w:p>
            <w:pPr>
              <w:pStyle w:val="Compact"/>
              <w:jc w:val="center"/>
            </w:pPr>
            <w:r>
              <w:t xml:space="preserve">-1.823</w:t>
            </w:r>
          </w:p>
        </w:tc>
        <w:tc>
          <w:p>
            <w:pPr>
              <w:pStyle w:val="Compact"/>
              <w:jc w:val="center"/>
            </w:pPr>
            <w:r>
              <w:t xml:space="preserve">16.41</w:t>
            </w:r>
          </w:p>
        </w:tc>
        <w:tc>
          <w:p>
            <w:pPr>
              <w:pStyle w:val="Compact"/>
              <w:jc w:val="center"/>
            </w:pPr>
            <w:r>
              <w:t xml:space="preserve">-2.427</w:t>
            </w:r>
          </w:p>
        </w:tc>
        <w:tc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p>
            <w:pPr>
              <w:pStyle w:val="Compact"/>
              <w:jc w:val="center"/>
            </w:pPr>
            <w:r>
              <w:t xml:space="preserve">1945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9</w:t>
            </w:r>
          </w:p>
        </w:tc>
        <w:tc>
          <w:p>
            <w:pPr>
              <w:pStyle w:val="Compact"/>
              <w:jc w:val="center"/>
            </w:pPr>
            <w:r>
              <w:t xml:space="preserve">-1.764</w:t>
            </w:r>
          </w:p>
        </w:tc>
        <w:tc>
          <w:p>
            <w:pPr>
              <w:pStyle w:val="Compact"/>
              <w:jc w:val="center"/>
            </w:pPr>
            <w:r>
              <w:t xml:space="preserve">15.88</w:t>
            </w:r>
          </w:p>
        </w:tc>
        <w:tc>
          <w:p>
            <w:pPr>
              <w:pStyle w:val="Compact"/>
              <w:jc w:val="center"/>
            </w:pPr>
            <w:r>
              <w:t xml:space="preserve">-2.056</w:t>
            </w:r>
          </w:p>
        </w:tc>
        <w:tc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p>
            <w:pPr>
              <w:pStyle w:val="Compact"/>
              <w:jc w:val="center"/>
            </w:pPr>
            <w:r>
              <w:t xml:space="preserve">1998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8</w:t>
            </w:r>
          </w:p>
        </w:tc>
        <w:tc>
          <w:p>
            <w:pPr>
              <w:pStyle w:val="Compact"/>
              <w:jc w:val="center"/>
            </w:pPr>
            <w:r>
              <w:t xml:space="preserve">-1.482</w:t>
            </w:r>
          </w:p>
        </w:tc>
        <w:tc>
          <w:p>
            <w:pPr>
              <w:pStyle w:val="Compact"/>
              <w:jc w:val="center"/>
            </w:pPr>
            <w:r>
              <w:t xml:space="preserve">11.86</w:t>
            </w:r>
          </w:p>
        </w:tc>
        <w:tc>
          <w:p>
            <w:pPr>
              <w:pStyle w:val="Compact"/>
              <w:jc w:val="center"/>
            </w:pPr>
            <w:r>
              <w:t xml:space="preserve">-1.654</w:t>
            </w:r>
          </w:p>
        </w:tc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1983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-1.728</w:t>
            </w:r>
          </w:p>
        </w:tc>
        <w:tc>
          <w:p>
            <w:pPr>
              <w:pStyle w:val="Compact"/>
              <w:jc w:val="center"/>
            </w:pPr>
            <w:r>
              <w:t xml:space="preserve">10.37</w:t>
            </w:r>
          </w:p>
        </w:tc>
        <w:tc>
          <w:p>
            <w:pPr>
              <w:pStyle w:val="Compact"/>
              <w:jc w:val="center"/>
            </w:pPr>
            <w:r>
              <w:t xml:space="preserve">-1.906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  <w:tc>
          <w:p>
            <w:pPr>
              <w:pStyle w:val="Compact"/>
              <w:jc w:val="center"/>
            </w:pPr>
            <w:r>
              <w:t xml:space="preserve">2012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-1.905</w:t>
            </w:r>
          </w:p>
        </w:tc>
        <w:tc>
          <w:p>
            <w:pPr>
              <w:pStyle w:val="Compact"/>
              <w:jc w:val="center"/>
            </w:pPr>
            <w:r>
              <w:t xml:space="preserve">9.527</w:t>
            </w:r>
          </w:p>
        </w:tc>
        <w:tc>
          <w:p>
            <w:pPr>
              <w:pStyle w:val="Compact"/>
              <w:jc w:val="center"/>
            </w:pPr>
            <w:r>
              <w:t xml:space="preserve">-2.3</w:t>
            </w:r>
          </w:p>
        </w:tc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1925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-1.493</w:t>
            </w:r>
          </w:p>
        </w:tc>
        <w:tc>
          <w:p>
            <w:pPr>
              <w:pStyle w:val="Compact"/>
              <w:jc w:val="center"/>
            </w:pPr>
            <w:r>
              <w:t xml:space="preserve">7.463</w:t>
            </w:r>
          </w:p>
        </w:tc>
        <w:tc>
          <w:p>
            <w:pPr>
              <w:pStyle w:val="Compact"/>
              <w:jc w:val="center"/>
            </w:pPr>
            <w:r>
              <w:t xml:space="preserve">-1.537</w:t>
            </w:r>
          </w:p>
        </w:tc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1985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-1.385</w:t>
            </w:r>
          </w:p>
        </w:tc>
        <w:tc>
          <w:p>
            <w:pPr>
              <w:pStyle w:val="Compact"/>
              <w:jc w:val="center"/>
            </w:pPr>
            <w:r>
              <w:t xml:space="preserve">6.926</w:t>
            </w:r>
          </w:p>
        </w:tc>
        <w:tc>
          <w:p>
            <w:pPr>
              <w:pStyle w:val="Compact"/>
              <w:jc w:val="center"/>
            </w:pPr>
            <w:r>
              <w:t xml:space="preserve">-1.444</w:t>
            </w:r>
          </w:p>
        </w:tc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1991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-1.522</w:t>
            </w:r>
          </w:p>
        </w:tc>
        <w:tc>
          <w:p>
            <w:pPr>
              <w:pStyle w:val="Compact"/>
              <w:jc w:val="center"/>
            </w:pPr>
            <w:r>
              <w:t xml:space="preserve">7.611</w:t>
            </w:r>
          </w:p>
        </w:tc>
        <w:tc>
          <w:p>
            <w:pPr>
              <w:pStyle w:val="Compact"/>
              <w:jc w:val="center"/>
            </w:pPr>
            <w:r>
              <w:t xml:space="preserve">-1.571</w:t>
            </w:r>
          </w:p>
        </w:tc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2005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-1.363</w:t>
            </w:r>
          </w:p>
        </w:tc>
        <w:tc>
          <w:p>
            <w:pPr>
              <w:pStyle w:val="Compact"/>
              <w:jc w:val="center"/>
            </w:pPr>
            <w:r>
              <w:t xml:space="preserve">5.453</w:t>
            </w:r>
          </w:p>
        </w:tc>
        <w:tc>
          <w:p>
            <w:pPr>
              <w:pStyle w:val="Compact"/>
              <w:jc w:val="center"/>
            </w:pPr>
            <w:r>
              <w:t xml:space="preserve">-1.441</w:t>
            </w:r>
          </w:p>
        </w:tc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1927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-1.714</w:t>
            </w:r>
          </w:p>
        </w:tc>
        <w:tc>
          <w:p>
            <w:pPr>
              <w:pStyle w:val="Compact"/>
              <w:jc w:val="center"/>
            </w:pPr>
            <w:r>
              <w:t xml:space="preserve">6.855</w:t>
            </w:r>
          </w:p>
        </w:tc>
        <w:tc>
          <w:p>
            <w:pPr>
              <w:pStyle w:val="Compact"/>
              <w:jc w:val="center"/>
            </w:pPr>
            <w:r>
              <w:t xml:space="preserve">-1.833</w:t>
            </w:r>
          </w:p>
        </w:tc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1931</w:t>
            </w:r>
          </w:p>
        </w:tc>
      </w:tr>
    </w:tbl>
    <w:tbl>
      <w:tblPr>
        <w:tblStyle w:val="TableNormal"/>
        <w:tblW w:type="pct" w:w="1111.111111111111"/>
        <w:tblLook w:firstRow="1"/>
      </w:tblPr>
      <w:tblGrid>
        <w:gridCol w:w="1100"/>
        <w:gridCol w:w="66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maxyear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cat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1914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1995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1946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1999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1983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2012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1925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1985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1991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2005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1927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1931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</w:tbl>
    <w:p>
      <w:pPr>
        <w:pStyle w:val="Textodecuerpo"/>
      </w:pPr>
      <w:r>
        <w:rPr>
          <w:b/>
        </w:rPr>
        <w:t xml:space="preserve">Appendix S4.</w:t>
      </w:r>
      <w:r>
        <w:t xml:space="preserve"> </w:t>
      </w:r>
      <w:r>
        <w:t xml:space="preserve">Tabla de drought severas.</w:t>
      </w:r>
    </w:p>
    <w:p>
      <w:pPr>
        <w:pStyle w:val="Ttulo5"/>
      </w:pPr>
      <w:bookmarkStart w:id="45" w:name="section-12"/>
      <w:bookmarkEnd w:id="45"/>
    </w:p>
    <w:p>
      <w:pPr>
        <w:pStyle w:val="FirstParagraph"/>
      </w:pPr>
      <w:r>
        <w:rPr>
          <w:b/>
        </w:rPr>
        <w:t xml:space="preserve">Appendix S5.</w:t>
      </w:r>
      <w:r>
        <w:t xml:space="preserve"> </w:t>
      </w:r>
      <w:r>
        <w:t xml:space="preserve">Percentage of pixels showing browning, greenning or no-changes during the 2005 and 2012 droguht events according to EVI standardized anomalies.</w:t>
      </w:r>
    </w:p>
    <w:p>
      <w:pPr>
        <w:pStyle w:val="Textodecuerpo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3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47" w:name="section-13"/>
      <w:bookmarkEnd w:id="47"/>
    </w:p>
    <w:p>
      <w:pPr>
        <w:pStyle w:val="FirstParagraph"/>
      </w:pPr>
      <w:r>
        <w:rPr>
          <w:b/>
        </w:rPr>
        <w:t xml:space="preserve">Appendix S6.</w:t>
      </w:r>
      <w:r>
        <w:t xml:space="preserve"> </w:t>
      </w:r>
      <w:r>
        <w:t xml:space="preserve">Reilience vs. droughts</w:t>
      </w:r>
    </w:p>
    <w:p>
      <w:pPr>
        <w:pStyle w:val="Ttulo5"/>
      </w:pPr>
      <w:bookmarkStart w:id="48" w:name="section-14"/>
      <w:bookmarkEnd w:id="48"/>
    </w:p>
    <w:p>
      <w:pPr>
        <w:pStyle w:val="FirstParagraph"/>
      </w:pPr>
      <w:r>
        <w:rPr>
          <w:b/>
        </w:rPr>
        <w:t xml:space="preserve">Appendix S7.</w:t>
      </w:r>
      <w:r>
        <w:t xml:space="preserve"> </w:t>
      </w:r>
      <w:r>
        <w:t xml:space="preserve">Correlation between indices of resilience (Rt, resistance; Rc, recovery; Rs, Resilience) using periods of several lengths (2, 3 and 4 years after a drought). Top plots (a, b and c) showing the resilience indices of greenness (EVI) to drought; and bottom plots (d, e, f) the resilience indices of tree-growth (BAI) to drought. ws2, ws3 and ws4 indicate periods of 2, 3 and 4 years after a drought.</w:t>
      </w:r>
    </w:p>
    <w:p>
      <w:pPr>
        <w:pStyle w:val="Textodecuerpo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3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50" w:name="section-15"/>
      <w:bookmarkEnd w:id="50"/>
    </w:p>
    <w:p>
      <w:pPr>
        <w:pStyle w:val="FirstParagraph"/>
      </w:pPr>
      <w:r>
        <w:rPr>
          <w:b/>
        </w:rPr>
        <w:t xml:space="preserve">Appendix S8.</w:t>
      </w:r>
      <w:r>
        <w:t xml:space="preserve"> </w:t>
      </w:r>
      <w:r>
        <w:t xml:space="preserve">Tabla S1</w:t>
      </w:r>
    </w:p>
    <w:p>
      <w:pPr>
        <w:pStyle w:val="Ttulo5"/>
      </w:pPr>
      <w:bookmarkStart w:id="51" w:name="section-16"/>
      <w:bookmarkEnd w:id="51"/>
    </w:p>
    <w:p>
      <w:pPr>
        <w:pStyle w:val="FirstParagraph"/>
      </w:pPr>
      <w:r>
        <w:rPr>
          <w:b/>
        </w:rPr>
        <w:t xml:space="preserve">Appendix S9.</w:t>
      </w:r>
      <w:r>
        <w:t xml:space="preserve"> </w:t>
      </w:r>
      <w:r>
        <w:t xml:space="preserve">Tabla S2</w:t>
      </w:r>
    </w:p>
    <w:p>
      <w:pPr>
        <w:pStyle w:val="Bibliografa"/>
      </w:pPr>
      <w:r>
        <w:t xml:space="preserve">Nowacki, G. J., and M. D. Abrams. 1997. Radial-growth averaging criteria for reconstructing disturbance histories from presettlement-origing oaks. Ecological Monographs 67:225–249.</w:t>
      </w:r>
    </w:p>
    <w:p>
      <w:pPr>
        <w:pStyle w:val="Bibliografa"/>
      </w:pPr>
      <w:r>
        <w:t xml:space="preserve">Pérez-Luque, A. J., R. Zamora, F. J. Bonet, and R. Pérez-Pérez. 2015. Dataset of migrame project (global change, altitudinal range shift and colonization of degraded habitats in mediterranean mountains). PhytoKeys 56:61–81.</w:t>
      </w:r>
    </w:p>
    <w:sectPr w:rsidR="005A04E7" w:rsidRPr="003659D1" w:rsidSect="002A5C4B">
      <w:pgSz w:w="12240" w:h="15840"/>
      <w:pgMar w:top="1440" w:right="1440" w:bottom="1440" w:left="1440" w:header="720" w:footer="720" w:gutter="0"/>
      <w:lnNumType w:countBy="1" w:restart="continuous"/>
      <w:cols w:space="720"/>
      <w:docGrid w:linePitch="27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ＭＳ Ｐゴシック">
    <w:charset w:val="4E"/>
    <w:family w:val="auto"/>
    <w:pitch w:val="variable"/>
    <w:sig w:usb0="00000001" w:usb1="08070000" w:usb2="00000010" w:usb3="00000000" w:csb0="00020000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349DFE"/>
    <w:multiLevelType w:val="multilevel"/>
    <w:tmpl w:val="54C439B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A47EE96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EA1050C4"/>
    <w:multiLevelType w:val="multilevel"/>
    <w:tmpl w:val="E60283FC"/>
    <w:lvl w:ilvl="0">
      <w:start w:val="1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158A9882"/>
    <w:multiLevelType w:val="multilevel"/>
    <w:tmpl w:val="3106F92A"/>
    <w:lvl w:ilvl="0">
      <w:start w:val="1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3D4ABF41"/>
    <w:multiLevelType w:val="multilevel"/>
    <w:tmpl w:val="4C74926A"/>
    <w:lvl w:ilvl="0">
      <w:start w:val="2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4AE73AA5"/>
    <w:multiLevelType w:val="multilevel"/>
    <w:tmpl w:val="9CD4E85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6201F114"/>
    <w:multiLevelType w:val="multilevel"/>
    <w:tmpl w:val="B6380E9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75C20D2B"/>
    <w:multiLevelType w:val="multilevel"/>
    <w:tmpl w:val="7AF23D68"/>
    <w:lvl w:ilvl="0">
      <w:start w:val="3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aa18f74d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1"/>
  </w:num>
  <w:num w:numId="2">
    <w:abstractNumId w:val="6"/>
  </w:num>
  <w:num w:numId="3">
    <w:abstractNumId w:val="0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5">
    <w:abstractNumId w:val="5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7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</w:num>
  <w:num w:numId="8">
    <w:abstractNumId w:val="7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hyphenationZone w:val="42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>
    <w:lsdException w:name="heading 6" w:qFormat="1"/>
  </w:latentStyles>
  <w:style w:type="paragraph" w:default="1" w:styleId="Normal">
    <w:name w:val="Normal"/>
    <w:qFormat/>
    <w:rsid w:val="00041949"/>
    <w:pPr>
      <w:spacing w:before="180" w:after="180" w:line="360" w:lineRule="auto"/>
    </w:pPr>
    <w:rPr>
      <w:sz w:val="20"/>
    </w:rPr>
  </w:style>
  <w:style w:type="paragraph" w:styleId="Ttulo1">
    <w:name w:val="heading 1"/>
    <w:basedOn w:val="Normal"/>
    <w:next w:val="Normal"/>
    <w:autoRedefine/>
    <w:uiPriority w:val="9"/>
    <w:qFormat/>
    <w:rsid w:val="0006512E"/>
    <w:pPr>
      <w:keepNext/>
      <w:keepLines/>
      <w:spacing w:before="600" w:after="120"/>
      <w:outlineLvl w:val="0"/>
    </w:pPr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Ttulo2">
    <w:name w:val="heading 2"/>
    <w:basedOn w:val="Normal"/>
    <w:next w:val="Normal"/>
    <w:autoRedefine/>
    <w:uiPriority w:val="9"/>
    <w:unhideWhenUsed/>
    <w:qFormat/>
    <w:rsid w:val="00FD5C5D"/>
    <w:pPr>
      <w:keepNext/>
      <w:keepLines/>
      <w:spacing w:before="320" w:after="120" w:line="480" w:lineRule="auto"/>
      <w:outlineLvl w:val="1"/>
    </w:pPr>
    <w:rPr>
      <w:rFonts w:asciiTheme="majorHAnsi" w:eastAsiaTheme="majorEastAsia" w:hAnsiTheme="majorHAnsi" w:cstheme="majorBidi"/>
      <w:b/>
      <w:bCs/>
      <w:szCs w:val="32"/>
    </w:rPr>
  </w:style>
  <w:style w:type="paragraph" w:styleId="Ttulo3">
    <w:name w:val="heading 3"/>
    <w:basedOn w:val="Ttulo2"/>
    <w:next w:val="Normal"/>
    <w:autoRedefine/>
    <w:uiPriority w:val="9"/>
    <w:unhideWhenUsed/>
    <w:qFormat/>
    <w:rsid w:val="0006512E"/>
    <w:pPr>
      <w:outlineLvl w:val="2"/>
    </w:pPr>
  </w:style>
  <w:style w:type="paragraph" w:styleId="Ttulo4">
    <w:name w:val="heading 4"/>
    <w:basedOn w:val="Ttulo3"/>
    <w:next w:val="Normal"/>
    <w:uiPriority w:val="9"/>
    <w:unhideWhenUsed/>
    <w:qFormat/>
    <w:rsid w:val="00792BF1"/>
    <w:pPr>
      <w:outlineLvl w:val="3"/>
    </w:pPr>
    <w:rPr>
      <w:lang w:val="es-ES"/>
    </w:rPr>
  </w:style>
  <w:style w:type="paragraph" w:styleId="Ttulo5">
    <w:name w:val="heading 5"/>
    <w:basedOn w:val="Ttulo4"/>
    <w:next w:val="Normal"/>
    <w:uiPriority w:val="9"/>
    <w:unhideWhenUsed/>
    <w:qFormat/>
    <w:rsid w:val="00A701F6"/>
    <w:pPr>
      <w:pageBreakBefore/>
      <w:outlineLvl w:val="4"/>
    </w:pPr>
  </w:style>
  <w:style w:type="paragraph" w:styleId="Ttulo6">
    <w:name w:val="heading 6"/>
    <w:basedOn w:val="Normal"/>
    <w:next w:val="Normal"/>
    <w:link w:val="Ttulo6Car"/>
    <w:qFormat/>
    <w:rsid w:val="00380EBE"/>
    <w:pPr>
      <w:keepNext/>
      <w:keepLines/>
      <w:pageBreakBefore/>
      <w:spacing w:before="200" w:after="0"/>
      <w:outlineLvl w:val="5"/>
    </w:pPr>
    <w:rPr>
      <w:rFonts w:asciiTheme="majorHAnsi" w:eastAsiaTheme="majorEastAsia" w:hAnsiTheme="majorHAnsi" w:cstheme="majorBidi"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ompact">
    <w:name w:val="Compact"/>
    <w:basedOn w:val="Normal"/>
    <w:qFormat/>
    <w:pPr>
      <w:spacing w:before="36" w:after="36"/>
    </w:pPr>
  </w:style>
  <w:style w:type="paragraph" w:styleId="Ttulo">
    <w:name w:val="Title"/>
    <w:basedOn w:val="Normal"/>
    <w:next w:val="Normal"/>
    <w:qFormat/>
    <w:rsid w:val="00EC1535"/>
    <w:pPr>
      <w:keepNext/>
      <w:keepLines/>
      <w:spacing w:before="480" w:after="720"/>
    </w:pPr>
    <w:rPr>
      <w:rFonts w:asciiTheme="majorHAnsi" w:eastAsiaTheme="majorEastAsia" w:hAnsiTheme="majorHAnsi" w:cstheme="majorBidi"/>
      <w:b/>
      <w:bCs/>
      <w:sz w:val="28"/>
      <w:szCs w:val="36"/>
    </w:rPr>
  </w:style>
  <w:style w:type="paragraph" w:styleId="Subttulo">
    <w:name w:val="Subtitle"/>
    <w:basedOn w:val="Ttulo"/>
    <w:next w:val="Normal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Normal"/>
    <w:qFormat/>
    <w:rsid w:val="0006512E"/>
    <w:pPr>
      <w:keepNext/>
      <w:keepLines/>
      <w:spacing w:before="120" w:after="320"/>
    </w:pPr>
    <w:rPr>
      <w:rFonts w:ascii="Arial" w:hAnsi="Arial"/>
    </w:rPr>
  </w:style>
  <w:style w:type="paragraph" w:styleId="Fecha">
    <w:name w:val="Date"/>
    <w:next w:val="Normal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Normal"/>
    <w:qFormat/>
    <w:pPr>
      <w:keepNext/>
      <w:keepLines/>
      <w:spacing w:before="300" w:after="300"/>
    </w:pPr>
    <w:rPr>
      <w:szCs w:val="20"/>
    </w:rPr>
  </w:style>
  <w:style w:type="paragraph" w:styleId="Bibliografa">
    <w:name w:val="Bibliography"/>
    <w:basedOn w:val="Normal"/>
    <w:qFormat/>
    <w:rsid w:val="006C57ED"/>
    <w:pPr>
      <w:ind w:left="567" w:hanging="567"/>
    </w:pPr>
  </w:style>
  <w:style w:type="paragraph" w:customStyle="1" w:styleId="BlockQuote">
    <w:name w:val="Block Quote"/>
    <w:basedOn w:val="Normal"/>
    <w:next w:val="Normal"/>
    <w:uiPriority w:val="9"/>
    <w:unhideWhenUsed/>
    <w:qFormat/>
    <w:rsid w:val="00975FD8"/>
    <w:pPr>
      <w:spacing w:before="100" w:after="100" w:line="240" w:lineRule="auto"/>
    </w:pPr>
    <w:rPr>
      <w:rFonts w:asciiTheme="majorHAnsi" w:eastAsiaTheme="majorEastAsia" w:hAnsiTheme="majorHAnsi" w:cstheme="majorBidi"/>
      <w:bCs/>
      <w:szCs w:val="20"/>
    </w:rPr>
  </w:style>
  <w:style w:type="paragraph" w:styleId="Textonotapie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Textodecuerpo">
    <w:name w:val="Body Text"/>
    <w:basedOn w:val="Normal"/>
    <w:link w:val="TextodecuerpoCar"/>
    <w:pPr>
      <w:spacing w:after="120"/>
    </w:pPr>
  </w:style>
  <w:style w:type="paragraph" w:customStyle="1" w:styleId="TableCaption">
    <w:name w:val="Table Caption"/>
    <w:basedOn w:val="Normal"/>
    <w:pPr>
      <w:spacing w:before="0" w:after="120"/>
    </w:pPr>
    <w:rPr>
      <w:i/>
    </w:rPr>
  </w:style>
  <w:style w:type="paragraph" w:customStyle="1" w:styleId="ImageCaption">
    <w:name w:val="Image Caption"/>
    <w:basedOn w:val="Normal"/>
    <w:link w:val="BodyTextChar"/>
    <w:pPr>
      <w:spacing w:before="0" w:after="120"/>
    </w:pPr>
    <w:rPr>
      <w:i/>
    </w:rPr>
  </w:style>
  <w:style w:type="character" w:customStyle="1" w:styleId="BodyTextChar">
    <w:name w:val="Body Text Char"/>
    <w:basedOn w:val="Fuentedeprrafopredeter"/>
    <w:link w:val="ImageCaption"/>
  </w:style>
  <w:style w:type="character" w:customStyle="1" w:styleId="VerbatimChar">
    <w:name w:val="Verbatim Char"/>
    <w:basedOn w:val="BodyTextChar"/>
    <w:link w:val="SourceCode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0">
    <w:name w:val="Source Code"/>
    <w:basedOn w:val="Normal"/>
    <w:pPr>
      <w:wordWrap w:val="0"/>
    </w:pPr>
  </w:style>
  <w:style w:type="character" w:customStyle="1" w:styleId="KeywordTok0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0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0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0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0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harTok0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tringTok0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0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OtherTok0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AlertTok0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FunctionTok0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RegionMarkerTok0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rrorTok0">
    <w:name w:val="ErrorTok"/>
    <w:basedOn w:val="VerbatimChar"/>
    <w:rPr>
      <w:rFonts w:ascii="Consolas" w:hAnsi="Consolas"/>
      <w:b/>
      <w:sz w:val="22"/>
      <w:shd w:val="clear" w:color="auto" w:fill="F8F8F8"/>
    </w:rPr>
  </w:style>
  <w:style w:type="character" w:customStyle="1" w:styleId="NormalTok0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styleId="Hipervnculo">
    <w:name w:val="Hyperlink"/>
    <w:basedOn w:val="Fuentedeprrafopredeter"/>
    <w:rsid w:val="00A6715F"/>
    <w:rPr>
      <w:color w:val="0000FF" w:themeColor="hyperlink"/>
      <w:u w:val="single"/>
    </w:rPr>
  </w:style>
  <w:style w:type="character" w:customStyle="1" w:styleId="Ttulo6Car">
    <w:name w:val="Título 6 Car"/>
    <w:basedOn w:val="Fuentedeprrafopredeter"/>
    <w:link w:val="Ttulo6"/>
    <w:rsid w:val="00380EBE"/>
    <w:rPr>
      <w:rFonts w:asciiTheme="majorHAnsi" w:eastAsiaTheme="majorEastAsia" w:hAnsiTheme="majorHAnsi" w:cstheme="majorBidi"/>
      <w:iCs/>
      <w:sz w:val="20"/>
    </w:rPr>
  </w:style>
  <w:style w:type="character" w:customStyle="1" w:styleId="TextodecuerpoCar">
    <w:name w:val="Texto de cuerpo Car"/>
    <w:basedOn w:val="Fuentedeprrafopredeter"/>
    <w:link w:val="Textodecuerpo"/>
    <w:rsid w:val="00C102C2"/>
    <w:rPr>
      <w:sz w:val="20"/>
    </w:rPr>
  </w:style>
  <w:style w:type="character" w:styleId="Nmerodelnea">
    <w:name w:val="line number"/>
    <w:basedOn w:val="Fuentedeprrafopredeter"/>
    <w:rsid w:val="002A5C4B"/>
  </w:style>
  <w:style w:type="paragraph" w:styleId="Encabezado">
    <w:name w:val="header"/>
    <w:basedOn w:val="Normal"/>
    <w:link w:val="EncabezadoCar"/>
    <w:rsid w:val="003659D1"/>
    <w:pPr>
      <w:tabs>
        <w:tab w:val="center" w:pos="4419"/>
        <w:tab w:val="right" w:pos="8838"/>
      </w:tabs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3659D1"/>
    <w:rPr>
      <w:sz w:val="20"/>
    </w:rPr>
  </w:style>
  <w:style w:type="paragraph" w:styleId="Piedepgina">
    <w:name w:val="footer"/>
    <w:basedOn w:val="Normal"/>
    <w:link w:val="PiedepginaCar"/>
    <w:rsid w:val="003659D1"/>
    <w:pPr>
      <w:tabs>
        <w:tab w:val="center" w:pos="4419"/>
        <w:tab w:val="right" w:pos="8838"/>
      </w:tabs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rsid w:val="003659D1"/>
    <w:rPr>
      <w:sz w:val="20"/>
    </w:rPr>
  </w:style>
  <w:style w:type="paragraph" w:styleId="Textodeglobo">
    <w:name w:val="Balloon Text"/>
    <w:basedOn w:val="Normal"/>
    <w:link w:val="TextodegloboCar"/>
    <w:rsid w:val="003659D1"/>
    <w:pPr>
      <w:spacing w:before="0"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3659D1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2" Target="media/rId22.jp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24" Target="media/rId24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248</Words>
  <Characters>1364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Ciencia reproducible: qué, por qué, cómo (include English title too)</vt:lpstr>
    </vt:vector>
  </TitlesOfParts>
  <Company>Microsoft</Company>
  <LinksUpToDate>false</LinksUpToDate>
  <CharactersWithSpaces>1609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2018-02-20T15:11:20Z</dcterms:created>
  <dcterms:modified xsi:type="dcterms:W3CDTF">2018-02-20T15:11:20Z</dcterms:modified>
</cp:coreProperties>
</file>